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D4613" w14:textId="1E8EF967" w:rsidR="00DC5FD8" w:rsidRPr="00C0147D" w:rsidRDefault="000372E0" w:rsidP="00537EBE">
      <w:pPr>
        <w:spacing w:after="0" w:line="240" w:lineRule="auto"/>
        <w:ind w:left="3540" w:firstLine="708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</w:t>
      </w:r>
      <w:r w:rsidR="00DC5FD8" w:rsidRPr="00C0147D">
        <w:rPr>
          <w:rFonts w:ascii="Times New Roman" w:hAnsi="Times New Roman" w:cs="Times New Roman"/>
          <w:i/>
          <w:iCs/>
        </w:rPr>
        <w:t>ałącznik do uchwały nr</w:t>
      </w:r>
      <w:r w:rsidR="00537EBE">
        <w:rPr>
          <w:rFonts w:ascii="Times New Roman" w:hAnsi="Times New Roman" w:cs="Times New Roman"/>
          <w:i/>
          <w:iCs/>
        </w:rPr>
        <w:t xml:space="preserve"> XII.108.2025</w:t>
      </w:r>
    </w:p>
    <w:p w14:paraId="2CA87487" w14:textId="7CB1C89C" w:rsidR="00DC5FD8" w:rsidRPr="000372E0" w:rsidRDefault="00DC5FD8" w:rsidP="00537EBE">
      <w:pPr>
        <w:spacing w:after="0" w:line="240" w:lineRule="auto"/>
        <w:ind w:left="4248"/>
        <w:rPr>
          <w:rFonts w:ascii="Times New Roman" w:hAnsi="Times New Roman" w:cs="Times New Roman"/>
          <w:i/>
          <w:iCs/>
        </w:rPr>
      </w:pPr>
      <w:r w:rsidRPr="00C0147D">
        <w:rPr>
          <w:rFonts w:ascii="Times New Roman" w:hAnsi="Times New Roman" w:cs="Times New Roman"/>
          <w:i/>
          <w:iCs/>
        </w:rPr>
        <w:t xml:space="preserve">Rady Powiatu Ełckiego z dnia </w:t>
      </w:r>
      <w:r w:rsidR="00537EBE">
        <w:rPr>
          <w:rFonts w:ascii="Times New Roman" w:hAnsi="Times New Roman" w:cs="Times New Roman"/>
          <w:i/>
          <w:iCs/>
        </w:rPr>
        <w:t>24 kwietnia 2025 r.</w:t>
      </w:r>
    </w:p>
    <w:p w14:paraId="1E6AB09C" w14:textId="77777777" w:rsidR="000372E0" w:rsidRPr="000372E0" w:rsidRDefault="000372E0" w:rsidP="00DC5FD8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324AEFC5" w14:textId="636DC642" w:rsidR="00A84D67" w:rsidRPr="006B7465" w:rsidRDefault="00DC5FD8" w:rsidP="006B7465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B7465">
        <w:rPr>
          <w:rFonts w:ascii="Times New Roman" w:hAnsi="Times New Roman" w:cs="Times New Roman"/>
          <w:b/>
          <w:bCs/>
        </w:rPr>
        <w:t>UZASADNIENIE</w:t>
      </w:r>
    </w:p>
    <w:p w14:paraId="0D15BC98" w14:textId="77777777" w:rsidR="00DC5FD8" w:rsidRPr="000372E0" w:rsidRDefault="00DC5FD8" w:rsidP="00DC5FD8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6C5828EB" w14:textId="5BE39074" w:rsidR="00C0147D" w:rsidRDefault="00784B0E" w:rsidP="00E71B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C5FD8" w:rsidRPr="00DC5FD8">
        <w:rPr>
          <w:rFonts w:ascii="Times New Roman" w:hAnsi="Times New Roman" w:cs="Times New Roman"/>
        </w:rPr>
        <w:t xml:space="preserve">Do </w:t>
      </w:r>
      <w:r w:rsidR="00E71BF7">
        <w:rPr>
          <w:rFonts w:ascii="Times New Roman" w:hAnsi="Times New Roman" w:cs="Times New Roman"/>
        </w:rPr>
        <w:t xml:space="preserve">Rady Powiatu Ełckiego wpłynęła petycja z dnia 02 kwietnia 2025 r. Mieszkańca Powiatu Ełckiego w sprawie </w:t>
      </w:r>
      <w:r w:rsidR="00E71BF7" w:rsidRPr="00E71BF7">
        <w:rPr>
          <w:rFonts w:ascii="Times New Roman" w:hAnsi="Times New Roman" w:cs="Times New Roman"/>
        </w:rPr>
        <w:t xml:space="preserve">przyjęcia uchwały kierunkowej zobowiązującej samorządową władzę wykonawczą do użycia wszelkich prawnych metod, aby nie dopuścić do utworzenia na </w:t>
      </w:r>
      <w:r w:rsidR="00E71BF7">
        <w:rPr>
          <w:rFonts w:ascii="Times New Roman" w:hAnsi="Times New Roman" w:cs="Times New Roman"/>
        </w:rPr>
        <w:t xml:space="preserve">jej </w:t>
      </w:r>
      <w:r w:rsidR="00E71BF7" w:rsidRPr="00E71BF7">
        <w:rPr>
          <w:rFonts w:ascii="Times New Roman" w:hAnsi="Times New Roman" w:cs="Times New Roman"/>
        </w:rPr>
        <w:t>terenie jakichkolwiek ośrodków dla nielegalnych imigrantów</w:t>
      </w:r>
      <w:r w:rsidR="00E71BF7">
        <w:rPr>
          <w:rFonts w:ascii="Times New Roman" w:hAnsi="Times New Roman" w:cs="Times New Roman"/>
        </w:rPr>
        <w:t xml:space="preserve"> przekraczających granicę Rzeczypospolitej Polskiej.</w:t>
      </w:r>
      <w:r w:rsidR="00C0147D">
        <w:rPr>
          <w:rFonts w:ascii="Times New Roman" w:hAnsi="Times New Roman" w:cs="Times New Roman"/>
        </w:rPr>
        <w:t xml:space="preserve"> Wnioskodawca petycji zarazem wskazał, iż wnosi ją w interesie publicznym.</w:t>
      </w:r>
    </w:p>
    <w:p w14:paraId="47D832D0" w14:textId="0E27C39C" w:rsidR="00E71BF7" w:rsidRDefault="00784B0E" w:rsidP="00E71BF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Komisja Skarg, Wniosków i Petycji zapoznała się z przedmiotowa petycją na posiedzeniu w dniu 10 kwietnia br., po dokonaniu analizy stwierdzono:</w:t>
      </w:r>
    </w:p>
    <w:p w14:paraId="4B06FDA5" w14:textId="61839311" w:rsidR="00784B0E" w:rsidRPr="00784B0E" w:rsidRDefault="00784B0E" w:rsidP="00784B0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784B0E">
        <w:rPr>
          <w:rFonts w:ascii="Times New Roman" w:hAnsi="Times New Roman" w:cs="Times New Roman"/>
        </w:rPr>
        <w:t>Art. 11c. ustawy z dnia 13 czerwca 2003 r. o udzielaniu cudzoziemcom ochrony na terytorium Rzeczypospolitej Polskiej</w:t>
      </w:r>
      <w:r w:rsidR="0091554E">
        <w:rPr>
          <w:rFonts w:ascii="Times New Roman" w:hAnsi="Times New Roman" w:cs="Times New Roman"/>
        </w:rPr>
        <w:t xml:space="preserve"> – </w:t>
      </w:r>
      <w:r w:rsidRPr="00784B0E">
        <w:rPr>
          <w:rFonts w:ascii="Times New Roman" w:hAnsi="Times New Roman" w:cs="Times New Roman"/>
        </w:rPr>
        <w:t>W celu realizacji zadań określonych w ustawie</w:t>
      </w:r>
      <w:r w:rsidR="00C0147D">
        <w:rPr>
          <w:rFonts w:ascii="Times New Roman" w:hAnsi="Times New Roman" w:cs="Times New Roman"/>
        </w:rPr>
        <w:t xml:space="preserve">             </w:t>
      </w:r>
      <w:r w:rsidRPr="00784B0E">
        <w:rPr>
          <w:rFonts w:ascii="Times New Roman" w:hAnsi="Times New Roman" w:cs="Times New Roman"/>
        </w:rPr>
        <w:t xml:space="preserve"> i w zakresie niezbędnym do realizacji tych zadań Szef Urzędu do Spraw Cudzoziemców, zwany dalej "Szefem Urzędu", może pozyskiwać z systemu teleinformatycznego Straży Granicznej, przy wykorzystaniu systemu teleinformatycznego, o którym mowa w art. 449 </w:t>
      </w:r>
      <w:r w:rsidRPr="00784B0E">
        <w:rPr>
          <w:rFonts w:ascii="Times New Roman" w:hAnsi="Times New Roman" w:cs="Times New Roman"/>
          <w:i/>
          <w:iCs/>
        </w:rPr>
        <w:t>krajowy zbiór rejestrów, ewidencji i wykazu w sprawach cudzoziemców</w:t>
      </w:r>
      <w:r w:rsidRPr="00784B0E">
        <w:rPr>
          <w:rFonts w:ascii="Times New Roman" w:hAnsi="Times New Roman" w:cs="Times New Roman"/>
        </w:rPr>
        <w:t xml:space="preserve"> ust. 1 ustawy z dnia 12 grudnia 2013 r. o cudzoziemcach, informacje przetwarzane na podstawie art. 1 </w:t>
      </w:r>
      <w:r w:rsidRPr="00784B0E">
        <w:rPr>
          <w:rFonts w:ascii="Times New Roman" w:hAnsi="Times New Roman" w:cs="Times New Roman"/>
          <w:i/>
          <w:iCs/>
        </w:rPr>
        <w:t>zadania Straży Granicznej</w:t>
      </w:r>
      <w:r w:rsidRPr="00784B0E">
        <w:rPr>
          <w:rFonts w:ascii="Times New Roman" w:hAnsi="Times New Roman" w:cs="Times New Roman"/>
        </w:rPr>
        <w:t xml:space="preserve"> ust. 2 pkt 9 ustawy z dnia 12 października 1990 r. o Straży Granicznej (Dz. U. z 2024 r. poz. 915, z </w:t>
      </w:r>
      <w:proofErr w:type="spellStart"/>
      <w:r w:rsidRPr="00784B0E">
        <w:rPr>
          <w:rFonts w:ascii="Times New Roman" w:hAnsi="Times New Roman" w:cs="Times New Roman"/>
        </w:rPr>
        <w:t>późn</w:t>
      </w:r>
      <w:proofErr w:type="spellEnd"/>
      <w:r w:rsidRPr="00784B0E">
        <w:rPr>
          <w:rFonts w:ascii="Times New Roman" w:hAnsi="Times New Roman" w:cs="Times New Roman"/>
        </w:rPr>
        <w:t>. zm.) dotyczące przekraczania przez cudzoziemców granicy Rzeczypospolitej Polskiej, jeżeli są spełnione następujące warunki:</w:t>
      </w:r>
    </w:p>
    <w:p w14:paraId="63303090" w14:textId="44A9238B" w:rsidR="00784B0E" w:rsidRPr="00784B0E" w:rsidRDefault="00784B0E" w:rsidP="00784B0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84B0E">
        <w:rPr>
          <w:rFonts w:ascii="Times New Roman" w:hAnsi="Times New Roman" w:cs="Times New Roman"/>
        </w:rPr>
        <w:t>system teleinformatyczny, za pośrednictwem którego są pozyskiwane te informacje, umożliwia identyfikację i rejestrację osób uzyskujących dostęp do danych Straży Granicznej oraz rejestruje zakres udostępnionych danych i datę udostępnienia danych;</w:t>
      </w:r>
    </w:p>
    <w:p w14:paraId="5AC066B6" w14:textId="2119E859" w:rsidR="00784B0E" w:rsidRPr="00784B0E" w:rsidRDefault="00784B0E" w:rsidP="00784B0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784B0E">
        <w:rPr>
          <w:rFonts w:ascii="Times New Roman" w:hAnsi="Times New Roman" w:cs="Times New Roman"/>
        </w:rPr>
        <w:t>Szef Urzędu posiada i stosuje zabezpieczenia techniczne i organizacyjne zapewniające poufność, integralność, dostępność i autentyczność danych.</w:t>
      </w:r>
    </w:p>
    <w:p w14:paraId="2DE06218" w14:textId="435D64E6" w:rsidR="00784B0E" w:rsidRDefault="00784B0E" w:rsidP="00784B0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784B0E">
        <w:rPr>
          <w:rFonts w:ascii="Times New Roman" w:hAnsi="Times New Roman" w:cs="Times New Roman"/>
        </w:rPr>
        <w:t xml:space="preserve">Art. 79 </w:t>
      </w:r>
      <w:r>
        <w:rPr>
          <w:rFonts w:ascii="Times New Roman" w:hAnsi="Times New Roman" w:cs="Times New Roman"/>
        </w:rPr>
        <w:t xml:space="preserve"> ust</w:t>
      </w:r>
      <w:r w:rsidR="00C0147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 </w:t>
      </w:r>
      <w:r w:rsidRPr="00784B0E">
        <w:rPr>
          <w:rFonts w:ascii="Times New Roman" w:hAnsi="Times New Roman" w:cs="Times New Roman"/>
        </w:rPr>
        <w:t>ustawy z dnia 13 czerwca 2003 r. o udzielaniu cudzoziemcom ochrony na terytorium Rzeczypospolitej Polskiej</w:t>
      </w:r>
      <w:r w:rsidR="0091554E">
        <w:rPr>
          <w:rFonts w:ascii="Times New Roman" w:hAnsi="Times New Roman" w:cs="Times New Roman"/>
        </w:rPr>
        <w:t xml:space="preserve"> – </w:t>
      </w:r>
      <w:r w:rsidRPr="00784B0E">
        <w:rPr>
          <w:rFonts w:ascii="Times New Roman" w:hAnsi="Times New Roman" w:cs="Times New Roman"/>
        </w:rPr>
        <w:t>Szef Urzędu zapewnia i organizuje prowadzenie ośrodków.</w:t>
      </w:r>
    </w:p>
    <w:p w14:paraId="1E2EE21B" w14:textId="1E27493B" w:rsidR="00C0147D" w:rsidRPr="000372E0" w:rsidRDefault="00C0147D" w:rsidP="00C0147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Art. 409 ust. 1 ustawy</w:t>
      </w:r>
      <w:r w:rsidRPr="00C0147D">
        <w:rPr>
          <w:rFonts w:ascii="Times New Roman" w:hAnsi="Times New Roman" w:cs="Times New Roman"/>
          <w:b/>
          <w:bCs/>
        </w:rPr>
        <w:t xml:space="preserve"> </w:t>
      </w:r>
      <w:r w:rsidRPr="00C0147D">
        <w:rPr>
          <w:rFonts w:ascii="Times New Roman" w:hAnsi="Times New Roman" w:cs="Times New Roman"/>
        </w:rPr>
        <w:t>z dnia 12 grudnia 2013 r. o cudzoziemcach</w:t>
      </w:r>
      <w:r w:rsidR="0091554E">
        <w:rPr>
          <w:rFonts w:ascii="Times New Roman" w:hAnsi="Times New Roman" w:cs="Times New Roman"/>
        </w:rPr>
        <w:t xml:space="preserve"> – </w:t>
      </w:r>
      <w:r w:rsidRPr="00C0147D">
        <w:rPr>
          <w:rFonts w:ascii="Times New Roman" w:hAnsi="Times New Roman" w:cs="Times New Roman"/>
        </w:rPr>
        <w:t>Minister właściwy do spraw wewnętrznych, w drodze rozporządzenia, tworzy i likwiduje strzeżone ośrodki, określa organ Straży Granicznej, któremu dany ośrodek ma podlegać, oraz może wskazać okres niezbędny na zorganizowanie tego ośrodka, mając na względzie istniejące w tym zakresie potrzeby.</w:t>
      </w:r>
    </w:p>
    <w:p w14:paraId="30288A91" w14:textId="3FE0C6E2" w:rsidR="000372E0" w:rsidRPr="000372E0" w:rsidRDefault="000372E0" w:rsidP="000372E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0372E0">
        <w:rPr>
          <w:rFonts w:ascii="Times New Roman" w:hAnsi="Times New Roman" w:cs="Times New Roman"/>
        </w:rPr>
        <w:t>P</w:t>
      </w:r>
      <w:r w:rsidR="00C0147D" w:rsidRPr="000372E0">
        <w:rPr>
          <w:rFonts w:ascii="Times New Roman" w:hAnsi="Times New Roman" w:cs="Times New Roman"/>
        </w:rPr>
        <w:t xml:space="preserve">owiat jest zobowiązany do wykonywania </w:t>
      </w:r>
      <w:r w:rsidRPr="000372E0">
        <w:rPr>
          <w:rFonts w:ascii="Times New Roman" w:hAnsi="Times New Roman" w:cs="Times New Roman"/>
        </w:rPr>
        <w:t xml:space="preserve"> </w:t>
      </w:r>
      <w:r w:rsidR="00C0147D" w:rsidRPr="000372E0">
        <w:rPr>
          <w:rFonts w:ascii="Times New Roman" w:hAnsi="Times New Roman" w:cs="Times New Roman"/>
        </w:rPr>
        <w:t xml:space="preserve">zadań publicznych w takim zakresie, jaki wynika </w:t>
      </w:r>
      <w:r w:rsidRPr="000372E0">
        <w:rPr>
          <w:rFonts w:ascii="Times New Roman" w:hAnsi="Times New Roman" w:cs="Times New Roman"/>
        </w:rPr>
        <w:t>m.in.</w:t>
      </w:r>
      <w:r w:rsidR="006C5203">
        <w:rPr>
          <w:rFonts w:ascii="Times New Roman" w:hAnsi="Times New Roman" w:cs="Times New Roman"/>
        </w:rPr>
        <w:t xml:space="preserve"> z </w:t>
      </w:r>
      <w:r w:rsidRPr="000372E0">
        <w:rPr>
          <w:rFonts w:ascii="Times New Roman" w:hAnsi="Times New Roman" w:cs="Times New Roman"/>
        </w:rPr>
        <w:t>art. 12 ustawy z dnia 5 czerwca 1998 r. o samorządzie powiatowym. Postulat przedstawiony w złożonej petycji nie znajduje oparcia w żadnej normie kompetencyjnej, której adresatem są władze powiatu.</w:t>
      </w:r>
    </w:p>
    <w:p w14:paraId="23B609F9" w14:textId="77777777" w:rsidR="000372E0" w:rsidRPr="00FF3E57" w:rsidRDefault="000372E0" w:rsidP="00DC5FD8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539B6E76" w14:textId="2688023A" w:rsidR="00DC5FD8" w:rsidRDefault="000372E0" w:rsidP="00DC5F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Biorąc pod uwagę powyższe, zasadne jest przekazanie petycji zgodnie z właściwością. </w:t>
      </w:r>
    </w:p>
    <w:p w14:paraId="1F8FC03C" w14:textId="77777777" w:rsidR="000372E0" w:rsidRDefault="000372E0" w:rsidP="00DC5FD8">
      <w:pPr>
        <w:spacing w:after="0"/>
        <w:rPr>
          <w:rFonts w:ascii="Times New Roman" w:hAnsi="Times New Roman" w:cs="Times New Roman"/>
          <w:i/>
          <w:iCs/>
        </w:rPr>
      </w:pPr>
    </w:p>
    <w:p w14:paraId="6E4CA6EC" w14:textId="4B69FDDC" w:rsidR="000372E0" w:rsidRPr="000372E0" w:rsidRDefault="000372E0" w:rsidP="000372E0">
      <w:pPr>
        <w:spacing w:after="0"/>
        <w:ind w:left="2832" w:firstLine="708"/>
        <w:rPr>
          <w:rFonts w:ascii="Times New Roman" w:hAnsi="Times New Roman" w:cs="Times New Roman"/>
          <w:b/>
          <w:bCs/>
          <w:i/>
          <w:iCs/>
        </w:rPr>
      </w:pPr>
    </w:p>
    <w:sectPr w:rsidR="000372E0" w:rsidRPr="000372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21B"/>
    <w:multiLevelType w:val="hybridMultilevel"/>
    <w:tmpl w:val="2BDE6148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33E99"/>
    <w:multiLevelType w:val="hybridMultilevel"/>
    <w:tmpl w:val="5AFA8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26236"/>
    <w:multiLevelType w:val="hybridMultilevel"/>
    <w:tmpl w:val="B5B2EAC8"/>
    <w:lvl w:ilvl="0" w:tplc="AC90BBD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412A0A"/>
    <w:multiLevelType w:val="hybridMultilevel"/>
    <w:tmpl w:val="D2DE3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23D27"/>
    <w:multiLevelType w:val="hybridMultilevel"/>
    <w:tmpl w:val="13F01A7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56394219">
    <w:abstractNumId w:val="1"/>
  </w:num>
  <w:num w:numId="2" w16cid:durableId="224683142">
    <w:abstractNumId w:val="3"/>
  </w:num>
  <w:num w:numId="3" w16cid:durableId="2029673171">
    <w:abstractNumId w:val="0"/>
  </w:num>
  <w:num w:numId="4" w16cid:durableId="1868371643">
    <w:abstractNumId w:val="4"/>
  </w:num>
  <w:num w:numId="5" w16cid:durableId="277876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D67"/>
    <w:rsid w:val="000372E0"/>
    <w:rsid w:val="0011463B"/>
    <w:rsid w:val="00130CCE"/>
    <w:rsid w:val="001C166B"/>
    <w:rsid w:val="00537DDA"/>
    <w:rsid w:val="00537EBE"/>
    <w:rsid w:val="006B7465"/>
    <w:rsid w:val="006C5203"/>
    <w:rsid w:val="00784B0E"/>
    <w:rsid w:val="0091554E"/>
    <w:rsid w:val="00A30616"/>
    <w:rsid w:val="00A84D67"/>
    <w:rsid w:val="00B71B05"/>
    <w:rsid w:val="00C0147D"/>
    <w:rsid w:val="00C47F9D"/>
    <w:rsid w:val="00DC5FD8"/>
    <w:rsid w:val="00E71BF7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E120"/>
  <w15:chartTrackingRefBased/>
  <w15:docId w15:val="{8B9791B0-E559-41A5-8A78-1588B5B1B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84D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4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4D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84D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4D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4D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4D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4D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4D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4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4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4D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A84D6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4D6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4D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4D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4D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4D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4D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4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4D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4D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4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4D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84D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4D6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4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4D6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4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80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47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225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54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3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13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1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8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98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Edyta Dzięgielewska</cp:lastModifiedBy>
  <cp:revision>45</cp:revision>
  <cp:lastPrinted>2025-04-14T05:43:00Z</cp:lastPrinted>
  <dcterms:created xsi:type="dcterms:W3CDTF">2025-04-10T11:20:00Z</dcterms:created>
  <dcterms:modified xsi:type="dcterms:W3CDTF">2025-04-24T06:54:00Z</dcterms:modified>
</cp:coreProperties>
</file>